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и экономическая  политика</w:t>
            </w:r>
          </w:p>
          <w:p>
            <w:pPr>
              <w:jc w:val="center"/>
              <w:spacing w:after="0" w:line="240" w:lineRule="auto"/>
              <w:rPr>
                <w:sz w:val="32"/>
                <w:szCs w:val="32"/>
              </w:rPr>
            </w:pPr>
            <w:r>
              <w:rPr>
                <w:rFonts w:ascii="Times New Roman" w:hAnsi="Times New Roman" w:cs="Times New Roman"/>
                <w:color w:val="#000000"/>
                <w:sz w:val="32"/>
                <w:szCs w:val="32"/>
              </w:rPr>
              <w:t> Б1.О.08.08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и экономическая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Б1.О.08.08 «Государственное управление и экономическая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и экономическая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5.3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Б1.О.08.08 «Государственное управление и экономическая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экономическая политика как управленческая категория. Роль государства в управлении экономическим развитием. Базовые понятия экономической политики. Содержание и соотношение экономической политики с общегосударственным строительством и иными частными государственными политиками. Стимулирование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Принципы и методология формирования экономической политики. Нормативно-правовое регулирование как фактор экономического развития. Основные конфликты интересов в экономических отношениях человека, общества (групп) и государства (мира).</w:t>
            </w:r>
          </w:p>
          <w:p>
            <w:pPr>
              <w:jc w:val="both"/>
              <w:spacing w:after="0" w:line="240" w:lineRule="auto"/>
              <w:rPr>
                <w:sz w:val="24"/>
                <w:szCs w:val="24"/>
              </w:rPr>
            </w:pPr>
            <w:r>
              <w:rPr>
                <w:rFonts w:ascii="Times New Roman" w:hAnsi="Times New Roman" w:cs="Times New Roman"/>
                <w:color w:val="#000000"/>
                <w:sz w:val="24"/>
                <w:szCs w:val="24"/>
              </w:rPr>
              <w:t> Ключевые вызовы, проблемы и идеи правового регулирования отношений в рыночных условиях.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 Исторический сравнительный анализ переходной экономики российского экономического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2611.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и налоговая политика. Денежно-кредитная и банковская политика. Монетизация российской экономики и инвестиционное стимулирование развития (инвестиционная политика). Ценовая государственная политика. Антиинфляционная политика. Политика ценового регулирования. Политика управления государственным долгом.</w:t>
            </w:r>
          </w:p>
          <w:p>
            <w:pPr>
              <w:jc w:val="both"/>
              <w:spacing w:after="0" w:line="240" w:lineRule="auto"/>
              <w:rPr>
                <w:sz w:val="24"/>
                <w:szCs w:val="24"/>
              </w:rPr>
            </w:pPr>
            <w:r>
              <w:rPr>
                <w:rFonts w:ascii="Times New Roman" w:hAnsi="Times New Roman" w:cs="Times New Roman"/>
                <w:color w:val="#000000"/>
                <w:sz w:val="24"/>
                <w:szCs w:val="24"/>
              </w:rPr>
              <w:t> Политика управления внешними российскими инвестициями. Влияние мирового финансового кризиса на денежно-кредитную политику и банковскую систему России. Меры, предпринимаемые государством для выхода из экономического кризиса. Основные направления бюджетной политики в период кризиса. Политика Российской Федерации по обеспечению финансовой безопасности государства, территориально-производственных комплексов и граждан.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государства в целях модернизации экономики. Неотложные краткосрочные меры. Долгосрочный механизм управления экономическим развитием. Система государственного управления для модернизации экономики экономической политики. Проблема государственного экономического мониторинга. Задачи информационного обеспечения практической реализации модернизированной экономической политики. Прогноз последствий проводимой экономической политики. Риски и угрозы при реализации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Цикличность экономической конъюнктуры. Причины и пути выхода из экономического кризиса. Инфляция, валовой экономический рост и его структура (качество): российские факторы Антикризисные меры государства.  Государственные меры, направленные на развитие конкуренции на российском рынке. Регулирование искусственных и естественных монополий. Меры, направленные на развитие конкуренции в отдельных отраслях.</w:t>
            </w:r>
          </w:p>
          <w:p>
            <w:pPr>
              <w:jc w:val="both"/>
              <w:spacing w:after="0" w:line="240" w:lineRule="auto"/>
              <w:rPr>
                <w:sz w:val="24"/>
                <w:szCs w:val="24"/>
              </w:rPr>
            </w:pPr>
            <w:r>
              <w:rPr>
                <w:rFonts w:ascii="Times New Roman" w:hAnsi="Times New Roman" w:cs="Times New Roman"/>
                <w:color w:val="#000000"/>
                <w:sz w:val="24"/>
                <w:szCs w:val="24"/>
              </w:rPr>
              <w:t> Внешнеэкономическая политика. Анализ международных региональных приоритетов внешнеэкономической политики. Методы и формы стимулирования экспорта на уровне регионов. Механизмы финансовой поддержки экспорта в Российской Федерации. Прогноз развития России: внешнеэкономический аспект.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 средство и человек - цель: взаимодействие экономической и социальной политик. Политика в сфере доходов и оплаты труда. Пенсионная политика. Анализ реализации целей, задачи итогов реформирования и дальнейшее развитие жилищно- коммунального хозяйства. Экономическая политика в сфере жилищно-коммунального хозяйства и жилья.</w:t>
            </w:r>
          </w:p>
          <w:p>
            <w:pPr>
              <w:jc w:val="both"/>
              <w:spacing w:after="0" w:line="240" w:lineRule="auto"/>
              <w:rPr>
                <w:sz w:val="24"/>
                <w:szCs w:val="24"/>
              </w:rPr>
            </w:pPr>
            <w:r>
              <w:rPr>
                <w:rFonts w:ascii="Times New Roman" w:hAnsi="Times New Roman" w:cs="Times New Roman"/>
                <w:color w:val="#000000"/>
                <w:sz w:val="24"/>
                <w:szCs w:val="24"/>
              </w:rPr>
              <w:t> Анализ современного состояния здравоохранения. Политика в сфере демографии. Направления совершенствования развития здравоохранения в Российской Федерации. Анализ современного состояния образования в Российской Федерации. Государственная экономическая политика в сфере образования. Политика занятости. Политика в сфере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Политика в сфере экономики услуг. Стратегические цели и приоритетные направления государственной политики в области сохранения природных систем России. Место отраслевых кадастров в обеспечении рационального природопользования. Механизм реализации государственной природоохранной политики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1383.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 Законодательство Российской Федерации о государственном прогнозировании программно-целевом планировании. Система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стратегического планирования в Российской Федерации, ее структура. Прогнозы, концепции, доктрины, стратегии, государственные программы и целевые комплексные программы, организация их разработки.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Концепции долгосрочного социально-экономического развития Российской Федерации. Федеральные и региональные целевые программы – важнейший инструмент государственной экономической политики на приоритетных направлениях экономического развития. Структура и содержание целевой программы. Ресурсное обеспечение и механизм реализации программ. Ожидаемые социально-экономические результаты от реализации программ. Технико-экономические обоснования. Система органов государственной экспертизы. Оценка социально-экономической эффективности.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как управленческая категория.</w:t>
            </w:r>
          </w:p>
          <w:p>
            <w:pPr>
              <w:jc w:val="left"/>
              <w:spacing w:after="0" w:line="240" w:lineRule="auto"/>
              <w:rPr>
                <w:sz w:val="24"/>
                <w:szCs w:val="24"/>
              </w:rPr>
            </w:pPr>
            <w:r>
              <w:rPr>
                <w:rFonts w:ascii="Times New Roman" w:hAnsi="Times New Roman" w:cs="Times New Roman"/>
                <w:color w:val="#000000"/>
                <w:sz w:val="24"/>
                <w:szCs w:val="24"/>
              </w:rPr>
              <w:t> 2 Нормативно-правовое регулирование как фактор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3 Российская социально-экономическая специфика государственной экономической политики.</w:t>
            </w:r>
          </w:p>
          <w:p>
            <w:pPr>
              <w:jc w:val="left"/>
              <w:spacing w:after="0" w:line="240" w:lineRule="auto"/>
              <w:rPr>
                <w:sz w:val="24"/>
                <w:szCs w:val="24"/>
              </w:rPr>
            </w:pPr>
            <w:r>
              <w:rPr>
                <w:rFonts w:ascii="Times New Roman" w:hAnsi="Times New Roman" w:cs="Times New Roman"/>
                <w:color w:val="#000000"/>
                <w:sz w:val="24"/>
                <w:szCs w:val="24"/>
              </w:rPr>
              <w:t> 4. Экономика страны как объект государственного регулирования.</w:t>
            </w:r>
          </w:p>
          <w:p>
            <w:pPr>
              <w:jc w:val="left"/>
              <w:spacing w:after="0" w:line="240" w:lineRule="auto"/>
              <w:rPr>
                <w:sz w:val="24"/>
                <w:szCs w:val="24"/>
              </w:rPr>
            </w:pPr>
            <w:r>
              <w:rPr>
                <w:rFonts w:ascii="Times New Roman" w:hAnsi="Times New Roman" w:cs="Times New Roman"/>
                <w:color w:val="#000000"/>
                <w:sz w:val="24"/>
                <w:szCs w:val="24"/>
              </w:rPr>
              <w:t> 5. Органы государственной власти, ответственные за экономическое развитие.</w:t>
            </w:r>
          </w:p>
          <w:p>
            <w:pPr>
              <w:jc w:val="left"/>
              <w:spacing w:after="0" w:line="240" w:lineRule="auto"/>
              <w:rPr>
                <w:sz w:val="24"/>
                <w:szCs w:val="24"/>
              </w:rPr>
            </w:pPr>
            <w:r>
              <w:rPr>
                <w:rFonts w:ascii="Times New Roman" w:hAnsi="Times New Roman" w:cs="Times New Roman"/>
                <w:color w:val="#000000"/>
                <w:sz w:val="24"/>
                <w:szCs w:val="24"/>
              </w:rPr>
              <w:t> 6. Оптимальное сочетание административных и экономических методов. Ошибки государства в регулировании.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Бюджетная и налоговая политика. Государственный бюджет, его структура и функции. 2. Основные направления бюджетных расходов. Внебюджетные фонды. Бюджетный процесс, дефицит и профицит государственного бюджета</w:t>
            </w:r>
          </w:p>
          <w:p>
            <w:pPr>
              <w:jc w:val="left"/>
              <w:spacing w:after="0" w:line="240" w:lineRule="auto"/>
              <w:rPr>
                <w:sz w:val="24"/>
                <w:szCs w:val="24"/>
              </w:rPr>
            </w:pPr>
            <w:r>
              <w:rPr>
                <w:rFonts w:ascii="Times New Roman" w:hAnsi="Times New Roman" w:cs="Times New Roman"/>
                <w:color w:val="#000000"/>
                <w:sz w:val="24"/>
                <w:szCs w:val="24"/>
              </w:rPr>
              <w:t> 3. Денежно-кредитная и банковская политика.</w:t>
            </w:r>
          </w:p>
          <w:p>
            <w:pPr>
              <w:jc w:val="left"/>
              <w:spacing w:after="0" w:line="240" w:lineRule="auto"/>
              <w:rPr>
                <w:sz w:val="24"/>
                <w:szCs w:val="24"/>
              </w:rPr>
            </w:pPr>
            <w:r>
              <w:rPr>
                <w:rFonts w:ascii="Times New Roman" w:hAnsi="Times New Roman" w:cs="Times New Roman"/>
                <w:color w:val="#000000"/>
                <w:sz w:val="24"/>
                <w:szCs w:val="24"/>
              </w:rPr>
              <w:t> 4. Механизм фискальной политики: дискреционная политика и политика встроенных стабилизаторов.</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по регулированию цен и сдерживанию инфляции</w:t>
            </w:r>
          </w:p>
          <w:p>
            <w:pPr>
              <w:jc w:val="left"/>
              <w:spacing w:after="0" w:line="240" w:lineRule="auto"/>
              <w:rPr>
                <w:sz w:val="24"/>
                <w:szCs w:val="24"/>
              </w:rPr>
            </w:pPr>
            <w:r>
              <w:rPr>
                <w:rFonts w:ascii="Times New Roman" w:hAnsi="Times New Roman" w:cs="Times New Roman"/>
                <w:color w:val="#000000"/>
                <w:sz w:val="24"/>
                <w:szCs w:val="24"/>
              </w:rPr>
              <w:t> 6. Внутренний и внешний государственный долг. Система управления государственным долгом.</w:t>
            </w:r>
          </w:p>
          <w:p>
            <w:pPr>
              <w:jc w:val="left"/>
              <w:spacing w:after="0" w:line="240" w:lineRule="auto"/>
              <w:rPr>
                <w:sz w:val="24"/>
                <w:szCs w:val="24"/>
              </w:rPr>
            </w:pPr>
            <w:r>
              <w:rPr>
                <w:rFonts w:ascii="Times New Roman" w:hAnsi="Times New Roman" w:cs="Times New Roman"/>
                <w:color w:val="#000000"/>
                <w:sz w:val="24"/>
                <w:szCs w:val="24"/>
              </w:rPr>
              <w:t> 7. Механизм и инструменты воздействия Банка России на предложение денег в экономике.</w:t>
            </w:r>
          </w:p>
          <w:p>
            <w:pPr>
              <w:jc w:val="left"/>
              <w:spacing w:after="0" w:line="240" w:lineRule="auto"/>
              <w:rPr>
                <w:sz w:val="24"/>
                <w:szCs w:val="24"/>
              </w:rPr>
            </w:pPr>
            <w:r>
              <w:rPr>
                <w:rFonts w:ascii="Times New Roman" w:hAnsi="Times New Roman" w:cs="Times New Roman"/>
                <w:color w:val="#000000"/>
                <w:sz w:val="24"/>
                <w:szCs w:val="24"/>
              </w:rPr>
              <w:t> 8. Институты, проводящие денежно-кредитную политику в стране.</w:t>
            </w:r>
          </w:p>
          <w:p>
            <w:pPr>
              <w:jc w:val="left"/>
              <w:spacing w:after="0" w:line="240" w:lineRule="auto"/>
              <w:rPr>
                <w:sz w:val="24"/>
                <w:szCs w:val="24"/>
              </w:rPr>
            </w:pPr>
            <w:r>
              <w:rPr>
                <w:rFonts w:ascii="Times New Roman" w:hAnsi="Times New Roman" w:cs="Times New Roman"/>
                <w:color w:val="#000000"/>
                <w:sz w:val="24"/>
                <w:szCs w:val="24"/>
              </w:rPr>
              <w:t> 9. Взаимодействие Банка России и правительства в проведении денежно-кредитной политики.</w:t>
            </w:r>
          </w:p>
        </w:tc>
      </w:tr>
      <w:tr>
        <w:trPr>
          <w:trHeight w:hRule="exact" w:val="8.083923"/>
        </w:trPr>
        <w:tc>
          <w:tcPr>
            <w:tcW w:w="9640" w:type="dxa"/>
          </w:tcPr>
          <w:p/>
        </w:tc>
      </w:tr>
      <w:tr>
        <w:trPr>
          <w:trHeight w:hRule="exact" w:val="535.5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экономической политики России</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политика государства в целях модернизации экономики.</w:t>
            </w:r>
          </w:p>
          <w:p>
            <w:pPr>
              <w:jc w:val="left"/>
              <w:spacing w:after="0" w:line="240" w:lineRule="auto"/>
              <w:rPr>
                <w:sz w:val="24"/>
                <w:szCs w:val="24"/>
              </w:rPr>
            </w:pPr>
            <w:r>
              <w:rPr>
                <w:rFonts w:ascii="Times New Roman" w:hAnsi="Times New Roman" w:cs="Times New Roman"/>
                <w:color w:val="#000000"/>
                <w:sz w:val="24"/>
                <w:szCs w:val="24"/>
              </w:rPr>
              <w:t> 2. Регулирование искусственных и естественных монополий</w:t>
            </w:r>
          </w:p>
          <w:p>
            <w:pPr>
              <w:jc w:val="left"/>
              <w:spacing w:after="0" w:line="240" w:lineRule="auto"/>
              <w:rPr>
                <w:sz w:val="24"/>
                <w:szCs w:val="24"/>
              </w:rPr>
            </w:pPr>
            <w:r>
              <w:rPr>
                <w:rFonts w:ascii="Times New Roman" w:hAnsi="Times New Roman" w:cs="Times New Roman"/>
                <w:color w:val="#000000"/>
                <w:sz w:val="24"/>
                <w:szCs w:val="24"/>
              </w:rPr>
              <w:t> 3. Цикличность экономической конъюнктуры. Антикризисные меры государства.</w:t>
            </w:r>
          </w:p>
          <w:p>
            <w:pPr>
              <w:jc w:val="left"/>
              <w:spacing w:after="0" w:line="240" w:lineRule="auto"/>
              <w:rPr>
                <w:sz w:val="24"/>
                <w:szCs w:val="24"/>
              </w:rPr>
            </w:pPr>
            <w:r>
              <w:rPr>
                <w:rFonts w:ascii="Times New Roman" w:hAnsi="Times New Roman" w:cs="Times New Roman"/>
                <w:color w:val="#000000"/>
                <w:sz w:val="24"/>
                <w:szCs w:val="24"/>
              </w:rPr>
              <w:t> 4. Государственные меры, направленные на развитие конкуренции на российском рынке. 5. Государственная стратегия стимулирования экономического роста. Динамика экономического роста.</w:t>
            </w:r>
          </w:p>
          <w:p>
            <w:pPr>
              <w:jc w:val="left"/>
              <w:spacing w:after="0" w:line="240" w:lineRule="auto"/>
              <w:rPr>
                <w:sz w:val="24"/>
                <w:szCs w:val="24"/>
              </w:rPr>
            </w:pPr>
            <w:r>
              <w:rPr>
                <w:rFonts w:ascii="Times New Roman" w:hAnsi="Times New Roman" w:cs="Times New Roman"/>
                <w:color w:val="#000000"/>
                <w:sz w:val="24"/>
                <w:szCs w:val="24"/>
              </w:rPr>
              <w:t> 6. Особенности экономического развития в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организации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 Создание негосударственных пенсионных фондов.</w:t>
            </w:r>
          </w:p>
          <w:p>
            <w:pPr>
              <w:jc w:val="left"/>
              <w:spacing w:after="0" w:line="240" w:lineRule="auto"/>
              <w:rPr>
                <w:sz w:val="24"/>
                <w:szCs w:val="24"/>
              </w:rPr>
            </w:pPr>
            <w:r>
              <w:rPr>
                <w:rFonts w:ascii="Times New Roman" w:hAnsi="Times New Roman" w:cs="Times New Roman"/>
                <w:color w:val="#000000"/>
                <w:sz w:val="24"/>
                <w:szCs w:val="24"/>
              </w:rPr>
              <w:t> 3. Социальные отношения как объект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4. Социальная защищенность. Социальные приоритеты в экономике. Сущность и направления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5. Модели и формы социальной защиты населения. Индикаторы эффективности социальной политики.</w:t>
            </w:r>
          </w:p>
          <w:p>
            <w:pPr>
              <w:jc w:val="left"/>
              <w:spacing w:after="0" w:line="240" w:lineRule="auto"/>
              <w:rPr>
                <w:sz w:val="24"/>
                <w:szCs w:val="24"/>
              </w:rPr>
            </w:pPr>
            <w:r>
              <w:rPr>
                <w:rFonts w:ascii="Times New Roman" w:hAnsi="Times New Roman" w:cs="Times New Roman"/>
                <w:color w:val="#000000"/>
                <w:sz w:val="24"/>
                <w:szCs w:val="24"/>
              </w:rPr>
              <w:t> 6. Индекс развития человеческого потенциала. Минимальные государственные стандарты. 7. Социально-демографические показатели. Показатели уровня социальной напряженности. Понятие «бедность». Уровни бедности. Порог бедности. Прожиточный минимум. Показатели развития социальной сферы.</w:t>
            </w:r>
          </w:p>
          <w:p>
            <w:pPr>
              <w:jc w:val="left"/>
              <w:spacing w:after="0" w:line="240" w:lineRule="auto"/>
              <w:rPr>
                <w:sz w:val="24"/>
                <w:szCs w:val="24"/>
              </w:rPr>
            </w:pPr>
            <w:r>
              <w:rPr>
                <w:rFonts w:ascii="Times New Roman" w:hAnsi="Times New Roman" w:cs="Times New Roman"/>
                <w:color w:val="#000000"/>
                <w:sz w:val="24"/>
                <w:szCs w:val="24"/>
              </w:rPr>
              <w:t> 8. Государственная экономическая политика в сфере доходов и оплаты труда граждан России.</w:t>
            </w:r>
          </w:p>
          <w:p>
            <w:pPr>
              <w:jc w:val="left"/>
              <w:spacing w:after="0" w:line="240" w:lineRule="auto"/>
              <w:rPr>
                <w:sz w:val="24"/>
                <w:szCs w:val="24"/>
              </w:rPr>
            </w:pPr>
            <w:r>
              <w:rPr>
                <w:rFonts w:ascii="Times New Roman" w:hAnsi="Times New Roman" w:cs="Times New Roman"/>
                <w:color w:val="#000000"/>
                <w:sz w:val="24"/>
                <w:szCs w:val="24"/>
              </w:rPr>
              <w:t> 9. Социальные программы. Особенности проведения социальной политики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содержание социально-экономического прогнозирования и планирования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2. Законодательство Российской Федерации о государственном прогнозировании программно-целевом планировании.</w:t>
            </w:r>
          </w:p>
          <w:p>
            <w:pPr>
              <w:jc w:val="left"/>
              <w:spacing w:after="0" w:line="240" w:lineRule="auto"/>
              <w:rPr>
                <w:sz w:val="24"/>
                <w:szCs w:val="24"/>
              </w:rPr>
            </w:pPr>
            <w:r>
              <w:rPr>
                <w:rFonts w:ascii="Times New Roman" w:hAnsi="Times New Roman" w:cs="Times New Roman"/>
                <w:color w:val="#000000"/>
                <w:sz w:val="24"/>
                <w:szCs w:val="24"/>
              </w:rPr>
              <w:t> 3. Роль, функции и организация прогнозирования в рыночной экономике. Система прогнозов.</w:t>
            </w:r>
          </w:p>
          <w:p>
            <w:pPr>
              <w:jc w:val="left"/>
              <w:spacing w:after="0" w:line="240" w:lineRule="auto"/>
              <w:rPr>
                <w:sz w:val="24"/>
                <w:szCs w:val="24"/>
              </w:rPr>
            </w:pPr>
            <w:r>
              <w:rPr>
                <w:rFonts w:ascii="Times New Roman" w:hAnsi="Times New Roman" w:cs="Times New Roman"/>
                <w:color w:val="#000000"/>
                <w:sz w:val="24"/>
                <w:szCs w:val="24"/>
              </w:rPr>
              <w:t> 4. Государственное программирование. Виды программ. Технология программирования.</w:t>
            </w:r>
          </w:p>
          <w:p>
            <w:pPr>
              <w:jc w:val="left"/>
              <w:spacing w:after="0" w:line="240" w:lineRule="auto"/>
              <w:rPr>
                <w:sz w:val="24"/>
                <w:szCs w:val="24"/>
              </w:rPr>
            </w:pPr>
            <w:r>
              <w:rPr>
                <w:rFonts w:ascii="Times New Roman" w:hAnsi="Times New Roman" w:cs="Times New Roman"/>
                <w:color w:val="#000000"/>
                <w:sz w:val="24"/>
                <w:szCs w:val="24"/>
              </w:rPr>
              <w:t> 5. Прогнозирование и программирование в кризисных ситуациях. Антикризисные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и экономическая  политика»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http://www.iprbookshop.ru/98786.html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https://urait.ru/bcode/473583</w:t>
            </w:r>
            <w:r>
              <w:rPr/>
              <w:t xml:space="preserve"> </w:t>
            </w:r>
          </w:p>
        </w:tc>
      </w:tr>
      <w:tr>
        <w:trPr>
          <w:trHeight w:hRule="exact" w:val="705.1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2023-2024_ФГОС3++2023_Маг-ЗФО-ГМУ(ЮО)(23)_plx_Государственное управление и экономическая  политика</dc:title>
  <dc:creator>FastReport.NET</dc:creator>
</cp:coreProperties>
</file>